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030" w:rsidRPr="008A4030" w:rsidRDefault="008A4030" w:rsidP="008A4030">
      <w:pPr>
        <w:spacing w:after="200" w:line="276" w:lineRule="auto"/>
        <w:rPr>
          <w:rFonts w:ascii="Calibri" w:eastAsia="Calibri" w:hAnsi="Calibri" w:cs="Arial"/>
          <w:b/>
          <w:bCs/>
          <w:color w:val="auto"/>
          <w:sz w:val="32"/>
          <w:szCs w:val="32"/>
          <w:lang w:val="en-US"/>
        </w:rPr>
      </w:pPr>
      <w:r w:rsidRPr="008A4030">
        <w:rPr>
          <w:rFonts w:ascii="Calibri" w:eastAsia="Calibri" w:hAnsi="Calibri" w:cs="Arial"/>
          <w:b/>
          <w:bCs/>
          <w:color w:val="auto"/>
          <w:sz w:val="32"/>
          <w:szCs w:val="32"/>
          <w:lang w:val="en-US"/>
        </w:rPr>
        <w:t>GOAL 5</w:t>
      </w:r>
    </w:p>
    <w:p w:rsidR="008A4030" w:rsidRPr="008A4030" w:rsidRDefault="008A4030" w:rsidP="008A4030">
      <w:pPr>
        <w:spacing w:after="200" w:line="276" w:lineRule="auto"/>
        <w:rPr>
          <w:rFonts w:ascii="Calibri" w:eastAsia="Calibri" w:hAnsi="Calibri" w:cs="Arial"/>
          <w:color w:val="auto"/>
          <w:sz w:val="22"/>
          <w:szCs w:val="22"/>
          <w:lang w:val="en-US"/>
        </w:rPr>
      </w:pPr>
      <w:r w:rsidRPr="008A4030">
        <w:rPr>
          <w:rFonts w:ascii="Calibri" w:eastAsia="Calibri" w:hAnsi="Calibri" w:cs="Arial"/>
          <w:noProof/>
          <w:color w:val="auto"/>
          <w:sz w:val="22"/>
          <w:szCs w:val="22"/>
          <w:lang w:eastAsia="en-GB"/>
        </w:rPr>
        <w:drawing>
          <wp:inline distT="0" distB="0" distL="0" distR="0" wp14:anchorId="4C673046" wp14:editId="2DB3D8BA">
            <wp:extent cx="8892540" cy="544511"/>
            <wp:effectExtent l="0" t="0" r="3810" b="8255"/>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92540" cy="544511"/>
                    </a:xfrm>
                    <a:prstGeom prst="rect">
                      <a:avLst/>
                    </a:prstGeom>
                    <a:noFill/>
                    <a:ln>
                      <a:noFill/>
                    </a:ln>
                  </pic:spPr>
                </pic:pic>
              </a:graphicData>
            </a:graphic>
          </wp:inline>
        </w:drawing>
      </w:r>
    </w:p>
    <w:p w:rsidR="008A4030" w:rsidRPr="008A4030" w:rsidRDefault="008A4030" w:rsidP="008A4030">
      <w:pPr>
        <w:spacing w:after="200" w:line="276" w:lineRule="auto"/>
        <w:jc w:val="both"/>
        <w:rPr>
          <w:rFonts w:ascii="Calibri" w:eastAsia="Calibri" w:hAnsi="Calibri" w:cs="Arial"/>
          <w:color w:val="auto"/>
          <w:sz w:val="22"/>
          <w:szCs w:val="22"/>
          <w:lang w:val="en-US"/>
        </w:rPr>
      </w:pPr>
      <w:r w:rsidRPr="008A4030">
        <w:rPr>
          <w:rFonts w:ascii="Calibri" w:eastAsia="Calibri" w:hAnsi="Calibri" w:cs="Arial"/>
          <w:color w:val="auto"/>
          <w:sz w:val="22"/>
          <w:szCs w:val="22"/>
          <w:lang w:val="en-US"/>
        </w:rPr>
        <w:t xml:space="preserve">Postal financial services are sometimes the unique way of accessing formal financial services for the most vulnerable segments of the population, among them poor women in developing and least developed countries. Moreover, postal services often provide equal access to employment to both men and women. Post offices have thus a long tradition in empowering women either as customers or employees. </w:t>
      </w:r>
    </w:p>
    <w:p w:rsidR="008A4030" w:rsidRPr="008A4030" w:rsidRDefault="008A4030" w:rsidP="008A4030">
      <w:pPr>
        <w:spacing w:after="200" w:line="276" w:lineRule="auto"/>
        <w:jc w:val="both"/>
        <w:rPr>
          <w:rFonts w:ascii="Calibri" w:eastAsia="Calibri" w:hAnsi="Calibri" w:cs="Arial"/>
          <w:b/>
          <w:bCs/>
          <w:i/>
          <w:iCs/>
          <w:color w:val="auto"/>
          <w:sz w:val="22"/>
          <w:szCs w:val="22"/>
          <w:lang w:val="en-US"/>
        </w:rPr>
      </w:pPr>
      <w:r w:rsidRPr="008A4030">
        <w:rPr>
          <w:rFonts w:ascii="Calibri" w:eastAsia="Calibri" w:hAnsi="Calibri" w:cs="Arial"/>
          <w:b/>
          <w:bCs/>
          <w:i/>
          <w:iCs/>
          <w:color w:val="auto"/>
          <w:sz w:val="22"/>
          <w:szCs w:val="22"/>
          <w:lang w:val="en-US"/>
        </w:rPr>
        <w:t xml:space="preserve">Detailing best data for indicator 5.a.2 </w:t>
      </w:r>
    </w:p>
    <w:p w:rsidR="008A4030" w:rsidRPr="008A4030" w:rsidRDefault="008A4030" w:rsidP="008A4030">
      <w:pPr>
        <w:spacing w:after="200" w:line="276" w:lineRule="auto"/>
        <w:jc w:val="both"/>
        <w:rPr>
          <w:rFonts w:ascii="Calibri" w:eastAsia="Calibri" w:hAnsi="Calibri" w:cs="Arial"/>
          <w:color w:val="auto"/>
          <w:sz w:val="22"/>
          <w:szCs w:val="22"/>
          <w:lang w:val="en-US"/>
        </w:rPr>
      </w:pPr>
      <w:r w:rsidRPr="008A4030">
        <w:rPr>
          <w:rFonts w:ascii="Calibri" w:eastAsia="Calibri" w:hAnsi="Calibri" w:cs="Arial"/>
          <w:color w:val="auto"/>
          <w:sz w:val="22"/>
          <w:szCs w:val="22"/>
          <w:lang w:val="en-US"/>
        </w:rPr>
        <w:t xml:space="preserve">The indicators suggested by the UPU are derived from joint research work with UN Women using data from the World Bank (Global </w:t>
      </w:r>
      <w:proofErr w:type="spellStart"/>
      <w:r w:rsidRPr="008A4030">
        <w:rPr>
          <w:rFonts w:ascii="Calibri" w:eastAsia="Calibri" w:hAnsi="Calibri" w:cs="Arial"/>
          <w:color w:val="auto"/>
          <w:sz w:val="22"/>
          <w:szCs w:val="22"/>
          <w:lang w:val="en-US"/>
        </w:rPr>
        <w:t>Findex</w:t>
      </w:r>
      <w:proofErr w:type="spellEnd"/>
      <w:r w:rsidRPr="008A4030">
        <w:rPr>
          <w:rFonts w:ascii="Calibri" w:eastAsia="Calibri" w:hAnsi="Calibri" w:cs="Arial"/>
          <w:color w:val="auto"/>
          <w:sz w:val="22"/>
          <w:szCs w:val="22"/>
          <w:lang w:val="en-US"/>
        </w:rPr>
        <w:t>).</w:t>
      </w:r>
    </w:p>
    <w:p w:rsidR="008A4030" w:rsidRPr="008A4030" w:rsidRDefault="008A4030" w:rsidP="008A4030">
      <w:pPr>
        <w:spacing w:after="200" w:line="276" w:lineRule="auto"/>
        <w:jc w:val="both"/>
        <w:rPr>
          <w:rFonts w:ascii="Calibri" w:eastAsia="Calibri" w:hAnsi="Calibri" w:cs="Arial"/>
          <w:color w:val="auto"/>
          <w:sz w:val="22"/>
          <w:szCs w:val="22"/>
          <w:lang w:val="en-US"/>
        </w:rPr>
      </w:pPr>
      <w:r w:rsidRPr="008A4030">
        <w:rPr>
          <w:rFonts w:ascii="Calibri" w:eastAsia="Calibri" w:hAnsi="Calibri" w:cs="Arial"/>
          <w:color w:val="auto"/>
          <w:sz w:val="22"/>
          <w:szCs w:val="22"/>
          <w:lang w:val="en-US"/>
        </w:rPr>
        <w:t xml:space="preserve">The UPU also collects data on female employment in the postal and express delivery industry. More details are provided in Annex 1 under the “Staff” section. Part of the data is also publicly available on the UPU website: </w:t>
      </w:r>
      <w:hyperlink r:id="rId6" w:history="1">
        <w:r w:rsidRPr="008A4030">
          <w:rPr>
            <w:rFonts w:ascii="Calibri" w:eastAsia="Calibri" w:hAnsi="Calibri" w:cs="Arial"/>
            <w:color w:val="0000FF"/>
            <w:sz w:val="22"/>
            <w:szCs w:val="22"/>
            <w:u w:val="single"/>
            <w:lang w:val="en-US"/>
          </w:rPr>
          <w:t>http://pls.upu.int/pls/ap/ssp_report.main?p_language=AN&amp;p_choice=BROWSE</w:t>
        </w:r>
      </w:hyperlink>
      <w:r w:rsidRPr="008A4030">
        <w:rPr>
          <w:rFonts w:ascii="Calibri" w:eastAsia="Calibri" w:hAnsi="Calibri" w:cs="Arial"/>
          <w:color w:val="auto"/>
          <w:sz w:val="22"/>
          <w:szCs w:val="22"/>
          <w:lang w:val="en-US"/>
        </w:rPr>
        <w:t xml:space="preserve"> .</w:t>
      </w:r>
    </w:p>
    <w:p w:rsidR="008A4030" w:rsidRPr="008A4030" w:rsidRDefault="008A4030" w:rsidP="008A4030">
      <w:pPr>
        <w:spacing w:after="200" w:line="276" w:lineRule="auto"/>
        <w:jc w:val="both"/>
        <w:rPr>
          <w:rFonts w:ascii="Calibri" w:eastAsia="Calibri" w:hAnsi="Calibri" w:cs="Arial"/>
          <w:i/>
          <w:iCs/>
          <w:color w:val="auto"/>
          <w:sz w:val="18"/>
          <w:szCs w:val="18"/>
          <w:lang w:val="en-US"/>
        </w:rPr>
      </w:pPr>
      <w:r w:rsidRPr="008A4030">
        <w:rPr>
          <w:rFonts w:ascii="Calibri" w:eastAsia="Calibri" w:hAnsi="Calibri" w:cs="Arial"/>
          <w:i/>
          <w:iCs/>
          <w:color w:val="auto"/>
          <w:sz w:val="18"/>
          <w:szCs w:val="18"/>
          <w:lang w:val="en-US"/>
        </w:rPr>
        <w:t>References</w:t>
      </w:r>
    </w:p>
    <w:p w:rsidR="008A4030" w:rsidRPr="008A4030" w:rsidRDefault="008A4030" w:rsidP="008A4030">
      <w:pPr>
        <w:spacing w:after="200" w:line="276" w:lineRule="auto"/>
        <w:jc w:val="both"/>
        <w:rPr>
          <w:rFonts w:ascii="Calibri" w:eastAsia="Calibri" w:hAnsi="Calibri" w:cs="Arial"/>
          <w:color w:val="auto"/>
          <w:sz w:val="18"/>
          <w:szCs w:val="18"/>
          <w:lang w:val="en-US"/>
        </w:rPr>
      </w:pPr>
      <w:r w:rsidRPr="008A4030">
        <w:rPr>
          <w:rFonts w:ascii="Calibri" w:eastAsia="Calibri" w:hAnsi="Calibri" w:cs="Arial"/>
          <w:color w:val="auto"/>
          <w:sz w:val="18"/>
          <w:szCs w:val="18"/>
          <w:lang w:val="en-US"/>
        </w:rPr>
        <w:t xml:space="preserve">Rao </w:t>
      </w:r>
      <w:proofErr w:type="spellStart"/>
      <w:r w:rsidRPr="008A4030">
        <w:rPr>
          <w:rFonts w:ascii="Calibri" w:eastAsia="Calibri" w:hAnsi="Calibri" w:cs="Arial"/>
          <w:color w:val="auto"/>
          <w:sz w:val="18"/>
          <w:szCs w:val="18"/>
          <w:lang w:val="en-US"/>
        </w:rPr>
        <w:t>Smriti</w:t>
      </w:r>
      <w:proofErr w:type="spellEnd"/>
      <w:r w:rsidRPr="008A4030">
        <w:rPr>
          <w:rFonts w:ascii="Calibri" w:eastAsia="Calibri" w:hAnsi="Calibri" w:cs="Arial"/>
          <w:color w:val="auto"/>
          <w:sz w:val="18"/>
          <w:szCs w:val="18"/>
          <w:lang w:val="en-US"/>
        </w:rPr>
        <w:t xml:space="preserve">. </w:t>
      </w:r>
      <w:proofErr w:type="gramStart"/>
      <w:r w:rsidRPr="008A4030">
        <w:rPr>
          <w:rFonts w:ascii="Calibri" w:eastAsia="Calibri" w:hAnsi="Calibri" w:cs="Arial"/>
          <w:color w:val="auto"/>
          <w:sz w:val="18"/>
          <w:szCs w:val="18"/>
          <w:lang w:val="en-US"/>
        </w:rPr>
        <w:t>(2015). Gender and Financial Inclusion through the Post.</w:t>
      </w:r>
      <w:proofErr w:type="gramEnd"/>
      <w:r w:rsidRPr="008A4030">
        <w:rPr>
          <w:rFonts w:ascii="Calibri" w:eastAsia="Calibri" w:hAnsi="Calibri" w:cs="Arial"/>
          <w:color w:val="auto"/>
          <w:sz w:val="18"/>
          <w:szCs w:val="18"/>
          <w:lang w:val="en-US"/>
        </w:rPr>
        <w:t xml:space="preserve"> </w:t>
      </w:r>
      <w:proofErr w:type="gramStart"/>
      <w:r w:rsidRPr="008A4030">
        <w:rPr>
          <w:rFonts w:ascii="Calibri" w:eastAsia="Calibri" w:hAnsi="Calibri" w:cs="Arial"/>
          <w:color w:val="auto"/>
          <w:sz w:val="18"/>
          <w:szCs w:val="18"/>
          <w:lang w:val="en-US"/>
        </w:rPr>
        <w:t>UN Women and UPU.</w:t>
      </w:r>
      <w:proofErr w:type="gramEnd"/>
      <w:r w:rsidRPr="008A4030">
        <w:rPr>
          <w:rFonts w:ascii="Calibri" w:eastAsia="Calibri" w:hAnsi="Calibri" w:cs="Arial"/>
          <w:color w:val="auto"/>
          <w:sz w:val="18"/>
          <w:szCs w:val="18"/>
          <w:lang w:val="en-US"/>
        </w:rPr>
        <w:t xml:space="preserve"> </w:t>
      </w:r>
      <w:proofErr w:type="gramStart"/>
      <w:r w:rsidRPr="008A4030">
        <w:rPr>
          <w:rFonts w:ascii="Calibri" w:eastAsia="Calibri" w:hAnsi="Calibri" w:cs="Arial"/>
          <w:color w:val="auto"/>
          <w:sz w:val="18"/>
          <w:szCs w:val="18"/>
          <w:lang w:val="en-US"/>
        </w:rPr>
        <w:t>Forthcoming.</w:t>
      </w:r>
      <w:proofErr w:type="gramEnd"/>
    </w:p>
    <w:p w:rsidR="0035634B" w:rsidRDefault="0035634B">
      <w:bookmarkStart w:id="0" w:name="_GoBack"/>
      <w:bookmarkEnd w:id="0"/>
    </w:p>
    <w:sectPr w:rsidR="0035634B" w:rsidSect="008A4030">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0"/>
    <w:rsid w:val="0035634B"/>
    <w:rsid w:val="00374D74"/>
    <w:rsid w:val="008A40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BalloonText">
    <w:name w:val="Balloon Text"/>
    <w:basedOn w:val="Normal"/>
    <w:link w:val="BalloonTextChar"/>
    <w:uiPriority w:val="99"/>
    <w:semiHidden/>
    <w:unhideWhenUsed/>
    <w:rsid w:val="008A4030"/>
    <w:rPr>
      <w:rFonts w:ascii="Tahoma" w:hAnsi="Tahoma" w:cs="Tahoma"/>
      <w:sz w:val="16"/>
      <w:szCs w:val="16"/>
    </w:rPr>
  </w:style>
  <w:style w:type="character" w:customStyle="1" w:styleId="BalloonTextChar">
    <w:name w:val="Balloon Text Char"/>
    <w:basedOn w:val="DefaultParagraphFont"/>
    <w:link w:val="BalloonText"/>
    <w:uiPriority w:val="99"/>
    <w:semiHidden/>
    <w:rsid w:val="008A40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BalloonText">
    <w:name w:val="Balloon Text"/>
    <w:basedOn w:val="Normal"/>
    <w:link w:val="BalloonTextChar"/>
    <w:uiPriority w:val="99"/>
    <w:semiHidden/>
    <w:unhideWhenUsed/>
    <w:rsid w:val="008A4030"/>
    <w:rPr>
      <w:rFonts w:ascii="Tahoma" w:hAnsi="Tahoma" w:cs="Tahoma"/>
      <w:sz w:val="16"/>
      <w:szCs w:val="16"/>
    </w:rPr>
  </w:style>
  <w:style w:type="character" w:customStyle="1" w:styleId="BalloonTextChar">
    <w:name w:val="Balloon Text Char"/>
    <w:basedOn w:val="DefaultParagraphFont"/>
    <w:link w:val="BalloonText"/>
    <w:uiPriority w:val="99"/>
    <w:semiHidden/>
    <w:rsid w:val="008A40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pls.upu.int/pls/ap/ssp_report.main?p_language=AN&amp;p_choice=BROWSE"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160</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2015-05-19T19:44:00Z</dcterms:created>
  <dcterms:modified xsi:type="dcterms:W3CDTF">2015-05-19T19:45:00Z</dcterms:modified>
</cp:coreProperties>
</file>